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20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第四章  波粒二象性</w:t>
      </w:r>
    </w:p>
    <w:p w14:paraId="0A564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第五节  不确定性关系</w:t>
      </w:r>
    </w:p>
    <w:p w14:paraId="77F319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auto"/>
        <w:rPr>
          <w:rFonts w:hint="eastAsia" w:hAnsi="Cambria Math" w:eastAsia="宋体"/>
          <w:i w:val="0"/>
          <w:i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1.不确定性关系：微观粒子的位置与动量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同时被确定，其位置的不确定量</w:t>
      </w:r>
      <w:r>
        <w:rPr>
          <w:rFonts w:hint="default" w:ascii="Calibri" w:hAnsi="Calibri" w:eastAsia="宋体" w:cs="Calibri"/>
          <w:b w:val="0"/>
          <w:bCs w:val="0"/>
          <w:color w:val="auto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与动量的不确定量</w:t>
      </w:r>
      <w:r>
        <w:rPr>
          <w:rFonts w:hint="default" w:ascii="Calibri" w:hAnsi="Calibri" w:eastAsia="宋体" w:cs="Calibri"/>
          <w:b w:val="0"/>
          <w:bCs w:val="0"/>
          <w:color w:val="auto"/>
          <w:lang w:val="en-US" w:eastAsia="zh-CN"/>
        </w:rPr>
        <w:t>Δ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遵循不等式</w:t>
      </w:r>
      <w:r>
        <w:rPr>
          <w:rFonts w:hint="default" w:ascii="Calibri" w:hAnsi="Calibri" w:eastAsia="宋体" w:cs="Calibri"/>
          <w:b w:val="0"/>
          <w:bCs w:val="0"/>
          <w:color w:val="auto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x</w:t>
      </w:r>
      <w:r>
        <w:rPr>
          <w:rFonts w:hint="default" w:ascii="Calibri" w:hAnsi="Calibri" w:eastAsia="宋体" w:cs="Calibri"/>
          <w:b w:val="0"/>
          <w:bCs w:val="0"/>
          <w:color w:val="auto"/>
          <w:lang w:val="en-US" w:eastAsia="zh-CN"/>
        </w:rPr>
        <w:t>Δ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default" w:ascii="Arial" w:hAnsi="Arial" w:eastAsia="宋体" w:cs="Arial"/>
          <w:b w:val="0"/>
          <w:bCs w:val="0"/>
          <w:i/>
          <w:iCs/>
          <w:color w:val="auto"/>
          <w:lang w:val="en-US" w:eastAsia="zh-CN"/>
        </w:rPr>
        <w:t>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hAnsi="Cambria Math" w:eastAsia="宋体"/>
          <w:i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hAnsi="Cambria Math" w:eastAsia="宋体"/>
          <w:i w:val="0"/>
          <w:iCs/>
          <w:color w:val="auto"/>
          <w:sz w:val="21"/>
          <w:szCs w:val="21"/>
          <w:u w:val="none"/>
          <w:lang w:val="en-US" w:eastAsia="zh-CN"/>
        </w:rPr>
        <w:t>，式中</w:t>
      </w:r>
      <w:r>
        <w:rPr>
          <w:rFonts w:hint="default" w:ascii="Times New Roman" w:hAnsi="Times New Roman" w:eastAsia="宋体" w:cs="Times New Roman"/>
          <w:i/>
          <w:iCs w:val="0"/>
          <w:color w:val="auto"/>
          <w:sz w:val="21"/>
          <w:szCs w:val="21"/>
          <w:u w:val="none"/>
          <w:lang w:val="en-US" w:eastAsia="zh-CN"/>
        </w:rPr>
        <w:t>h</w:t>
      </w:r>
      <w:r>
        <w:rPr>
          <w:rFonts w:hint="eastAsia" w:hAnsi="Cambria Math" w:eastAsia="宋体"/>
          <w:i w:val="0"/>
          <w:iCs/>
          <w:color w:val="auto"/>
          <w:sz w:val="21"/>
          <w:szCs w:val="21"/>
          <w:u w:val="none"/>
          <w:lang w:val="en-US" w:eastAsia="zh-CN"/>
        </w:rPr>
        <w:t>是普朗克常量。</w:t>
      </w:r>
    </w:p>
    <w:p w14:paraId="11B23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2.量子力学的建立</w:t>
      </w:r>
    </w:p>
    <w:p w14:paraId="73C4C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drawing>
          <wp:inline distT="0" distB="0" distL="114300" distR="114300">
            <wp:extent cx="4834890" cy="1219835"/>
            <wp:effectExtent l="0" t="0" r="0" b="0"/>
            <wp:docPr id="17" name="图片 17" descr="未命名文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未命名文件"/>
                    <pic:cNvPicPr>
                      <a:picLocks noChangeAspect="1"/>
                    </pic:cNvPicPr>
                  </pic:nvPicPr>
                  <pic:blipFill>
                    <a:blip r:embed="rId5"/>
                    <a:srcRect t="8014" r="18202" b="8839"/>
                    <a:stretch>
                      <a:fillRect/>
                    </a:stretch>
                  </pic:blipFill>
                  <pic:spPr>
                    <a:xfrm>
                      <a:off x="0" y="0"/>
                      <a:ext cx="4834890" cy="121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2F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3.量子力学的应用</w:t>
      </w:r>
    </w:p>
    <w:p w14:paraId="4126A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（1）借助量子力学，人们深入认识了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（填“宏观”或“微观”）世界的组成、结</w:t>
      </w:r>
    </w:p>
    <w:p w14:paraId="36372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构和属性。量子力学推动了核物理和粒子物理的发展。人们认识了原子、原子核、基本粒子</w:t>
      </w:r>
    </w:p>
    <w:p w14:paraId="6D4F3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等各个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（填“宏观”或“微观”）层次的物质结构，又促进了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学和宇宙学</w:t>
      </w:r>
    </w:p>
    <w:p w14:paraId="4AFD1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的研究。</w:t>
      </w:r>
    </w:p>
    <w:p w14:paraId="4E7EF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（2）量子力学推动了原子、分子物理和光学的发展</w:t>
      </w:r>
    </w:p>
    <w:p w14:paraId="6540A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人们认识了原子的结构以及原子、分子和电磁场相互作用的方式，发展了各式各样的对原子</w:t>
      </w:r>
    </w:p>
    <w:p w14:paraId="22125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和电磁场进行精确操控和测量的技术。</w:t>
      </w:r>
    </w:p>
    <w:p w14:paraId="73731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（3）量子力学推动了固体物理的发展</w:t>
      </w:r>
    </w:p>
    <w:p w14:paraId="06AD6A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人们了解了固体中电子运行的规律，并弄清了为什么固体有导体、绝缘体和半导体之分。</w:t>
      </w:r>
    </w:p>
    <w:p w14:paraId="38DC98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4FDC53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示例</w:t>
      </w:r>
    </w:p>
    <w:p w14:paraId="66B9EF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1.电视显像管中的电子的加速电压为10 kV，电子枪的枪口直径设为0.01 cm，试求电子射出电子枪后的横向速度的不确定量，并分析此种情况电子是否可以视为经典粒子处理。(π取3.14，电子质量取9.1×10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perscript"/>
          <w:lang w:val="en-US" w:eastAsia="zh-CN"/>
        </w:rPr>
        <w:t xml:space="preserve">-31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kg，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取6.63×10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perscript"/>
          <w:lang w:val="en-US" w:eastAsia="zh-CN"/>
        </w:rPr>
        <w:t xml:space="preserve">-34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J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  <w:t>∙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s，结果保留2位有效数字)</w:t>
      </w:r>
    </w:p>
    <w:p w14:paraId="06ABD985">
      <w:pPr>
        <w:rPr>
          <w:color w:val="auto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2F1743C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36BA2A77"/>
    <w:rsid w:val="12DD4320"/>
    <w:rsid w:val="1648769E"/>
    <w:rsid w:val="36BA2A77"/>
    <w:rsid w:val="71E4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451</Words>
  <Characters>485</Characters>
  <Lines>0</Lines>
  <Paragraphs>0</Paragraphs>
  <TotalTime>0</TotalTime>
  <ScaleCrop>false</ScaleCrop>
  <LinksUpToDate>false</LinksUpToDate>
  <CharactersWithSpaces>520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2025-07-16T08:50:00Z</dcterms:created>
  <dc:creator>少年如他</dc:creator>
  <cp:lastModifiedBy>这个方案做不了</cp:lastModifiedBy>
  <dcterms:modified xsi:type="dcterms:W3CDTF">2025-11-17T06:40:02Z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4B432293DABC4DD18B7ACCC011F50B50_11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